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4D8EC" w14:textId="77777777" w:rsidR="008B17DF" w:rsidRDefault="008B17DF" w:rsidP="008B17DF">
      <w:pPr>
        <w:spacing w:line="480" w:lineRule="auto"/>
      </w:pPr>
      <w:bookmarkStart w:id="0" w:name="_GoBack"/>
      <w:bookmarkEnd w:id="0"/>
      <w:r>
        <w:t>" Of the fall 2013 first-time cohort of 2,795 students, 875 (31%) enrolled in Math 112, and 677 (24%) enrolled in Math 114 within their first academic year.  …</w:t>
      </w:r>
    </w:p>
    <w:p w14:paraId="5434D8ED" w14:textId="77777777" w:rsidR="008B17DF" w:rsidRDefault="008B17DF" w:rsidP="008B17DF">
      <w:pPr>
        <w:spacing w:line="480" w:lineRule="auto"/>
      </w:pPr>
      <w:r>
        <w:t>Data shows that about one-fourth of the students in these courses do not complete it successfully, and many more earn grades that are below the threshold for entrance into subsequent science and math courses.</w:t>
      </w:r>
    </w:p>
    <w:p w14:paraId="5434D8EE" w14:textId="77777777" w:rsidR="008B17DF" w:rsidRDefault="008B17DF" w:rsidP="008B17DF">
      <w:pPr>
        <w:spacing w:line="480" w:lineRule="auto"/>
      </w:pPr>
    </w:p>
    <w:p w14:paraId="5434D8EF" w14:textId="77777777" w:rsidR="008B17DF" w:rsidRDefault="008B17DF" w:rsidP="008B17DF"/>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B17DF" w14:paraId="5434D8F1" w14:textId="77777777" w:rsidTr="008B17DF">
        <w:tc>
          <w:tcPr>
            <w:tcW w:w="9576" w:type="dxa"/>
            <w:gridSpan w:val="7"/>
            <w:tcBorders>
              <w:top w:val="single" w:sz="4" w:space="0" w:color="auto"/>
              <w:left w:val="single" w:sz="4" w:space="0" w:color="auto"/>
              <w:bottom w:val="single" w:sz="4" w:space="0" w:color="auto"/>
              <w:right w:val="single" w:sz="4" w:space="0" w:color="auto"/>
            </w:tcBorders>
            <w:hideMark/>
          </w:tcPr>
          <w:p w14:paraId="5434D8F0" w14:textId="77777777" w:rsidR="008B17DF" w:rsidRDefault="008B17DF">
            <w:pPr>
              <w:jc w:val="center"/>
              <w:rPr>
                <w:b/>
              </w:rPr>
            </w:pPr>
            <w:r>
              <w:rPr>
                <w:b/>
              </w:rPr>
              <w:t>Grades in Entry-Level Math Classes</w:t>
            </w:r>
          </w:p>
        </w:tc>
      </w:tr>
      <w:tr w:rsidR="008B17DF" w14:paraId="5434D8F7" w14:textId="77777777" w:rsidTr="008B17DF">
        <w:tc>
          <w:tcPr>
            <w:tcW w:w="13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4D8F2" w14:textId="77777777" w:rsidR="008B17DF" w:rsidRDefault="008B17DF"/>
          <w:p w14:paraId="5434D8F3" w14:textId="77777777" w:rsidR="008B17DF" w:rsidRDefault="008B17DF">
            <w:pPr>
              <w:jc w:val="center"/>
            </w:pPr>
          </w:p>
          <w:p w14:paraId="5434D8F4" w14:textId="77777777" w:rsidR="008B17DF" w:rsidRDefault="008B17DF">
            <w:pPr>
              <w:jc w:val="center"/>
            </w:pPr>
            <w:r>
              <w:t>Year</w:t>
            </w:r>
          </w:p>
        </w:tc>
        <w:tc>
          <w:tcPr>
            <w:tcW w:w="41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8F5" w14:textId="77777777" w:rsidR="008B17DF" w:rsidRDefault="008B17DF">
            <w:pPr>
              <w:jc w:val="center"/>
            </w:pPr>
            <w:r>
              <w:t>Math 112</w:t>
            </w:r>
          </w:p>
        </w:tc>
        <w:tc>
          <w:tcPr>
            <w:tcW w:w="41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8F6" w14:textId="77777777" w:rsidR="008B17DF" w:rsidRDefault="008B17DF">
            <w:pPr>
              <w:jc w:val="center"/>
            </w:pPr>
            <w:r>
              <w:t>Math 114</w:t>
            </w:r>
          </w:p>
        </w:tc>
      </w:tr>
      <w:tr w:rsidR="008B17DF" w14:paraId="5434D903" w14:textId="77777777" w:rsidTr="008B17DF">
        <w:tc>
          <w:tcPr>
            <w:tcW w:w="0" w:type="auto"/>
            <w:vMerge/>
            <w:tcBorders>
              <w:top w:val="single" w:sz="4" w:space="0" w:color="auto"/>
              <w:left w:val="single" w:sz="4" w:space="0" w:color="auto"/>
              <w:bottom w:val="single" w:sz="4" w:space="0" w:color="auto"/>
              <w:right w:val="single" w:sz="4" w:space="0" w:color="auto"/>
            </w:tcBorders>
            <w:vAlign w:val="center"/>
            <w:hideMark/>
          </w:tcPr>
          <w:p w14:paraId="5434D8F8" w14:textId="77777777" w:rsidR="008B17DF" w:rsidRDefault="008B17DF"/>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8F9" w14:textId="77777777" w:rsidR="008B17DF" w:rsidRDefault="008B17DF">
            <w:pPr>
              <w:jc w:val="center"/>
            </w:pPr>
            <w:r>
              <w:t>Total Enrolled</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8FA" w14:textId="77777777" w:rsidR="008B17DF" w:rsidRDefault="008B17DF">
            <w:pPr>
              <w:jc w:val="center"/>
            </w:pPr>
            <w:r>
              <w:t>Percent</w:t>
            </w:r>
          </w:p>
          <w:p w14:paraId="5434D8FB" w14:textId="77777777" w:rsidR="008B17DF" w:rsidRDefault="008B17DF">
            <w:pPr>
              <w:jc w:val="center"/>
            </w:pPr>
            <w:r>
              <w:t>W or F</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8FC" w14:textId="77777777" w:rsidR="008B17DF" w:rsidRDefault="008B17DF">
            <w:pPr>
              <w:jc w:val="center"/>
            </w:pPr>
            <w:r>
              <w:t>Percent</w:t>
            </w:r>
          </w:p>
          <w:p w14:paraId="5434D8FD" w14:textId="77777777" w:rsidR="008B17DF" w:rsidRDefault="008B17DF">
            <w:pPr>
              <w:jc w:val="center"/>
            </w:pPr>
            <w:r>
              <w:t>W, F or D</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8FE" w14:textId="77777777" w:rsidR="008B17DF" w:rsidRDefault="008B17DF">
            <w:pPr>
              <w:jc w:val="center"/>
            </w:pPr>
            <w:r>
              <w:t>Total Enrolled</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8FF" w14:textId="77777777" w:rsidR="008B17DF" w:rsidRDefault="008B17DF">
            <w:pPr>
              <w:jc w:val="center"/>
            </w:pPr>
            <w:r>
              <w:t>Percent</w:t>
            </w:r>
          </w:p>
          <w:p w14:paraId="5434D900" w14:textId="77777777" w:rsidR="008B17DF" w:rsidRDefault="008B17DF">
            <w:pPr>
              <w:jc w:val="center"/>
            </w:pPr>
            <w:r>
              <w:t>W or F</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01" w14:textId="77777777" w:rsidR="008B17DF" w:rsidRDefault="008B17DF">
            <w:pPr>
              <w:jc w:val="center"/>
            </w:pPr>
            <w:r>
              <w:t>Percent</w:t>
            </w:r>
          </w:p>
          <w:p w14:paraId="5434D902" w14:textId="77777777" w:rsidR="008B17DF" w:rsidRDefault="008B17DF">
            <w:pPr>
              <w:jc w:val="center"/>
            </w:pPr>
            <w:r>
              <w:t>W, F or D</w:t>
            </w:r>
          </w:p>
        </w:tc>
      </w:tr>
      <w:tr w:rsidR="008B17DF" w14:paraId="5434D90B" w14:textId="77777777" w:rsidTr="008B17DF">
        <w:tc>
          <w:tcPr>
            <w:tcW w:w="1368" w:type="dxa"/>
            <w:tcBorders>
              <w:top w:val="single" w:sz="4" w:space="0" w:color="auto"/>
              <w:left w:val="single" w:sz="4" w:space="0" w:color="auto"/>
              <w:bottom w:val="single" w:sz="4" w:space="0" w:color="auto"/>
              <w:right w:val="single" w:sz="4" w:space="0" w:color="auto"/>
            </w:tcBorders>
            <w:hideMark/>
          </w:tcPr>
          <w:p w14:paraId="5434D904" w14:textId="77777777" w:rsidR="008B17DF" w:rsidRDefault="008B17DF">
            <w:r>
              <w:t>2011-12</w:t>
            </w:r>
          </w:p>
        </w:tc>
        <w:tc>
          <w:tcPr>
            <w:tcW w:w="1368" w:type="dxa"/>
            <w:tcBorders>
              <w:top w:val="single" w:sz="4" w:space="0" w:color="auto"/>
              <w:left w:val="single" w:sz="4" w:space="0" w:color="auto"/>
              <w:bottom w:val="single" w:sz="4" w:space="0" w:color="auto"/>
              <w:right w:val="single" w:sz="4" w:space="0" w:color="auto"/>
            </w:tcBorders>
            <w:hideMark/>
          </w:tcPr>
          <w:p w14:paraId="5434D905" w14:textId="77777777" w:rsidR="008B17DF" w:rsidRDefault="008B17DF">
            <w:pPr>
              <w:jc w:val="right"/>
            </w:pPr>
            <w:r>
              <w:t>1,356</w:t>
            </w:r>
          </w:p>
        </w:tc>
        <w:tc>
          <w:tcPr>
            <w:tcW w:w="1368" w:type="dxa"/>
            <w:tcBorders>
              <w:top w:val="single" w:sz="4" w:space="0" w:color="auto"/>
              <w:left w:val="single" w:sz="4" w:space="0" w:color="auto"/>
              <w:bottom w:val="single" w:sz="4" w:space="0" w:color="auto"/>
              <w:right w:val="single" w:sz="4" w:space="0" w:color="auto"/>
            </w:tcBorders>
            <w:hideMark/>
          </w:tcPr>
          <w:p w14:paraId="5434D906" w14:textId="77777777" w:rsidR="008B17DF" w:rsidRDefault="008B17DF">
            <w:pPr>
              <w:jc w:val="right"/>
            </w:pPr>
            <w:r>
              <w:t>20%</w:t>
            </w:r>
          </w:p>
        </w:tc>
        <w:tc>
          <w:tcPr>
            <w:tcW w:w="1368" w:type="dxa"/>
            <w:tcBorders>
              <w:top w:val="single" w:sz="4" w:space="0" w:color="auto"/>
              <w:left w:val="single" w:sz="4" w:space="0" w:color="auto"/>
              <w:bottom w:val="single" w:sz="4" w:space="0" w:color="auto"/>
              <w:right w:val="single" w:sz="4" w:space="0" w:color="auto"/>
            </w:tcBorders>
            <w:hideMark/>
          </w:tcPr>
          <w:p w14:paraId="5434D907" w14:textId="77777777" w:rsidR="008B17DF" w:rsidRDefault="008B17DF">
            <w:pPr>
              <w:jc w:val="right"/>
            </w:pPr>
            <w:r>
              <w:t>36%</w:t>
            </w:r>
          </w:p>
        </w:tc>
        <w:tc>
          <w:tcPr>
            <w:tcW w:w="1368" w:type="dxa"/>
            <w:tcBorders>
              <w:top w:val="single" w:sz="4" w:space="0" w:color="auto"/>
              <w:left w:val="single" w:sz="4" w:space="0" w:color="auto"/>
              <w:bottom w:val="single" w:sz="4" w:space="0" w:color="auto"/>
              <w:right w:val="single" w:sz="4" w:space="0" w:color="auto"/>
            </w:tcBorders>
            <w:hideMark/>
          </w:tcPr>
          <w:p w14:paraId="5434D908" w14:textId="77777777" w:rsidR="008B17DF" w:rsidRDefault="008B17DF">
            <w:pPr>
              <w:jc w:val="right"/>
            </w:pPr>
            <w:r>
              <w:t>1,268</w:t>
            </w:r>
          </w:p>
        </w:tc>
        <w:tc>
          <w:tcPr>
            <w:tcW w:w="1368" w:type="dxa"/>
            <w:tcBorders>
              <w:top w:val="single" w:sz="4" w:space="0" w:color="auto"/>
              <w:left w:val="single" w:sz="4" w:space="0" w:color="auto"/>
              <w:bottom w:val="single" w:sz="4" w:space="0" w:color="auto"/>
              <w:right w:val="single" w:sz="4" w:space="0" w:color="auto"/>
            </w:tcBorders>
            <w:hideMark/>
          </w:tcPr>
          <w:p w14:paraId="5434D909" w14:textId="77777777" w:rsidR="008B17DF" w:rsidRDefault="008B17DF">
            <w:pPr>
              <w:jc w:val="right"/>
            </w:pPr>
            <w:r>
              <w:t>28%</w:t>
            </w:r>
          </w:p>
        </w:tc>
        <w:tc>
          <w:tcPr>
            <w:tcW w:w="1368" w:type="dxa"/>
            <w:tcBorders>
              <w:top w:val="single" w:sz="4" w:space="0" w:color="auto"/>
              <w:left w:val="single" w:sz="4" w:space="0" w:color="auto"/>
              <w:bottom w:val="single" w:sz="4" w:space="0" w:color="auto"/>
              <w:right w:val="single" w:sz="4" w:space="0" w:color="auto"/>
            </w:tcBorders>
            <w:hideMark/>
          </w:tcPr>
          <w:p w14:paraId="5434D90A" w14:textId="77777777" w:rsidR="008B17DF" w:rsidRDefault="008B17DF">
            <w:pPr>
              <w:jc w:val="right"/>
            </w:pPr>
            <w:r>
              <w:t>40%</w:t>
            </w:r>
          </w:p>
        </w:tc>
      </w:tr>
      <w:tr w:rsidR="008B17DF" w14:paraId="5434D913" w14:textId="77777777" w:rsidTr="008B17DF">
        <w:tc>
          <w:tcPr>
            <w:tcW w:w="1368" w:type="dxa"/>
            <w:tcBorders>
              <w:top w:val="single" w:sz="4" w:space="0" w:color="auto"/>
              <w:left w:val="single" w:sz="4" w:space="0" w:color="auto"/>
              <w:bottom w:val="single" w:sz="4" w:space="0" w:color="auto"/>
              <w:right w:val="single" w:sz="4" w:space="0" w:color="auto"/>
            </w:tcBorders>
            <w:hideMark/>
          </w:tcPr>
          <w:p w14:paraId="5434D90C" w14:textId="77777777" w:rsidR="008B17DF" w:rsidRDefault="008B17DF">
            <w:r>
              <w:t>2012-13</w:t>
            </w:r>
          </w:p>
        </w:tc>
        <w:tc>
          <w:tcPr>
            <w:tcW w:w="1368" w:type="dxa"/>
            <w:tcBorders>
              <w:top w:val="single" w:sz="4" w:space="0" w:color="auto"/>
              <w:left w:val="single" w:sz="4" w:space="0" w:color="auto"/>
              <w:bottom w:val="single" w:sz="4" w:space="0" w:color="auto"/>
              <w:right w:val="single" w:sz="4" w:space="0" w:color="auto"/>
            </w:tcBorders>
            <w:hideMark/>
          </w:tcPr>
          <w:p w14:paraId="5434D90D" w14:textId="77777777" w:rsidR="008B17DF" w:rsidRDefault="008B17DF">
            <w:pPr>
              <w:jc w:val="right"/>
            </w:pPr>
            <w:r>
              <w:t>1,309</w:t>
            </w:r>
          </w:p>
        </w:tc>
        <w:tc>
          <w:tcPr>
            <w:tcW w:w="1368" w:type="dxa"/>
            <w:tcBorders>
              <w:top w:val="single" w:sz="4" w:space="0" w:color="auto"/>
              <w:left w:val="single" w:sz="4" w:space="0" w:color="auto"/>
              <w:bottom w:val="single" w:sz="4" w:space="0" w:color="auto"/>
              <w:right w:val="single" w:sz="4" w:space="0" w:color="auto"/>
            </w:tcBorders>
            <w:hideMark/>
          </w:tcPr>
          <w:p w14:paraId="5434D90E" w14:textId="77777777" w:rsidR="008B17DF" w:rsidRDefault="008B17DF">
            <w:pPr>
              <w:jc w:val="right"/>
            </w:pPr>
            <w:r>
              <w:t>25%</w:t>
            </w:r>
          </w:p>
        </w:tc>
        <w:tc>
          <w:tcPr>
            <w:tcW w:w="1368" w:type="dxa"/>
            <w:tcBorders>
              <w:top w:val="single" w:sz="4" w:space="0" w:color="auto"/>
              <w:left w:val="single" w:sz="4" w:space="0" w:color="auto"/>
              <w:bottom w:val="single" w:sz="4" w:space="0" w:color="auto"/>
              <w:right w:val="single" w:sz="4" w:space="0" w:color="auto"/>
            </w:tcBorders>
            <w:hideMark/>
          </w:tcPr>
          <w:p w14:paraId="5434D90F" w14:textId="77777777" w:rsidR="008B17DF" w:rsidRDefault="008B17DF">
            <w:pPr>
              <w:jc w:val="right"/>
            </w:pPr>
            <w:r>
              <w:t>41%</w:t>
            </w:r>
          </w:p>
        </w:tc>
        <w:tc>
          <w:tcPr>
            <w:tcW w:w="1368" w:type="dxa"/>
            <w:tcBorders>
              <w:top w:val="single" w:sz="4" w:space="0" w:color="auto"/>
              <w:left w:val="single" w:sz="4" w:space="0" w:color="auto"/>
              <w:bottom w:val="single" w:sz="4" w:space="0" w:color="auto"/>
              <w:right w:val="single" w:sz="4" w:space="0" w:color="auto"/>
            </w:tcBorders>
            <w:hideMark/>
          </w:tcPr>
          <w:p w14:paraId="5434D910" w14:textId="77777777" w:rsidR="008B17DF" w:rsidRDefault="008B17DF">
            <w:pPr>
              <w:jc w:val="right"/>
            </w:pPr>
            <w:r>
              <w:t>1,236</w:t>
            </w:r>
          </w:p>
        </w:tc>
        <w:tc>
          <w:tcPr>
            <w:tcW w:w="1368" w:type="dxa"/>
            <w:tcBorders>
              <w:top w:val="single" w:sz="4" w:space="0" w:color="auto"/>
              <w:left w:val="single" w:sz="4" w:space="0" w:color="auto"/>
              <w:bottom w:val="single" w:sz="4" w:space="0" w:color="auto"/>
              <w:right w:val="single" w:sz="4" w:space="0" w:color="auto"/>
            </w:tcBorders>
            <w:hideMark/>
          </w:tcPr>
          <w:p w14:paraId="5434D911" w14:textId="77777777" w:rsidR="008B17DF" w:rsidRDefault="008B17DF">
            <w:pPr>
              <w:jc w:val="right"/>
            </w:pPr>
            <w:r>
              <w:t>29%</w:t>
            </w:r>
          </w:p>
        </w:tc>
        <w:tc>
          <w:tcPr>
            <w:tcW w:w="1368" w:type="dxa"/>
            <w:tcBorders>
              <w:top w:val="single" w:sz="4" w:space="0" w:color="auto"/>
              <w:left w:val="single" w:sz="4" w:space="0" w:color="auto"/>
              <w:bottom w:val="single" w:sz="4" w:space="0" w:color="auto"/>
              <w:right w:val="single" w:sz="4" w:space="0" w:color="auto"/>
            </w:tcBorders>
            <w:hideMark/>
          </w:tcPr>
          <w:p w14:paraId="5434D912" w14:textId="77777777" w:rsidR="008B17DF" w:rsidRDefault="008B17DF">
            <w:pPr>
              <w:jc w:val="right"/>
            </w:pPr>
            <w:r>
              <w:t>39%</w:t>
            </w:r>
          </w:p>
        </w:tc>
      </w:tr>
      <w:tr w:rsidR="008B17DF" w14:paraId="5434D91B" w14:textId="77777777" w:rsidTr="008B17DF">
        <w:tc>
          <w:tcPr>
            <w:tcW w:w="1368" w:type="dxa"/>
            <w:tcBorders>
              <w:top w:val="single" w:sz="4" w:space="0" w:color="auto"/>
              <w:left w:val="single" w:sz="4" w:space="0" w:color="auto"/>
              <w:bottom w:val="single" w:sz="4" w:space="0" w:color="auto"/>
              <w:right w:val="single" w:sz="4" w:space="0" w:color="auto"/>
            </w:tcBorders>
            <w:hideMark/>
          </w:tcPr>
          <w:p w14:paraId="5434D914" w14:textId="77777777" w:rsidR="008B17DF" w:rsidRDefault="008B17DF">
            <w:r>
              <w:t>2013-14</w:t>
            </w:r>
          </w:p>
        </w:tc>
        <w:tc>
          <w:tcPr>
            <w:tcW w:w="1368" w:type="dxa"/>
            <w:tcBorders>
              <w:top w:val="single" w:sz="4" w:space="0" w:color="auto"/>
              <w:left w:val="single" w:sz="4" w:space="0" w:color="auto"/>
              <w:bottom w:val="single" w:sz="4" w:space="0" w:color="auto"/>
              <w:right w:val="single" w:sz="4" w:space="0" w:color="auto"/>
            </w:tcBorders>
            <w:hideMark/>
          </w:tcPr>
          <w:p w14:paraId="5434D915" w14:textId="77777777" w:rsidR="008B17DF" w:rsidRDefault="008B17DF">
            <w:pPr>
              <w:jc w:val="right"/>
            </w:pPr>
            <w:r>
              <w:t>1,422</w:t>
            </w:r>
          </w:p>
        </w:tc>
        <w:tc>
          <w:tcPr>
            <w:tcW w:w="1368" w:type="dxa"/>
            <w:tcBorders>
              <w:top w:val="single" w:sz="4" w:space="0" w:color="auto"/>
              <w:left w:val="single" w:sz="4" w:space="0" w:color="auto"/>
              <w:bottom w:val="single" w:sz="4" w:space="0" w:color="auto"/>
              <w:right w:val="single" w:sz="4" w:space="0" w:color="auto"/>
            </w:tcBorders>
            <w:hideMark/>
          </w:tcPr>
          <w:p w14:paraId="5434D916" w14:textId="77777777" w:rsidR="008B17DF" w:rsidRDefault="008B17DF">
            <w:pPr>
              <w:jc w:val="right"/>
            </w:pPr>
            <w:r>
              <w:t>27%</w:t>
            </w:r>
          </w:p>
        </w:tc>
        <w:tc>
          <w:tcPr>
            <w:tcW w:w="1368" w:type="dxa"/>
            <w:tcBorders>
              <w:top w:val="single" w:sz="4" w:space="0" w:color="auto"/>
              <w:left w:val="single" w:sz="4" w:space="0" w:color="auto"/>
              <w:bottom w:val="single" w:sz="4" w:space="0" w:color="auto"/>
              <w:right w:val="single" w:sz="4" w:space="0" w:color="auto"/>
            </w:tcBorders>
            <w:hideMark/>
          </w:tcPr>
          <w:p w14:paraId="5434D917" w14:textId="77777777" w:rsidR="008B17DF" w:rsidRDefault="008B17DF">
            <w:pPr>
              <w:jc w:val="right"/>
            </w:pPr>
            <w:r>
              <w:t>45%</w:t>
            </w:r>
          </w:p>
        </w:tc>
        <w:tc>
          <w:tcPr>
            <w:tcW w:w="1368" w:type="dxa"/>
            <w:tcBorders>
              <w:top w:val="single" w:sz="4" w:space="0" w:color="auto"/>
              <w:left w:val="single" w:sz="4" w:space="0" w:color="auto"/>
              <w:bottom w:val="single" w:sz="4" w:space="0" w:color="auto"/>
              <w:right w:val="single" w:sz="4" w:space="0" w:color="auto"/>
            </w:tcBorders>
            <w:hideMark/>
          </w:tcPr>
          <w:p w14:paraId="5434D918" w14:textId="77777777" w:rsidR="008B17DF" w:rsidRDefault="008B17DF">
            <w:pPr>
              <w:jc w:val="right"/>
            </w:pPr>
            <w:r>
              <w:t>1,167</w:t>
            </w:r>
          </w:p>
        </w:tc>
        <w:tc>
          <w:tcPr>
            <w:tcW w:w="1368" w:type="dxa"/>
            <w:tcBorders>
              <w:top w:val="single" w:sz="4" w:space="0" w:color="auto"/>
              <w:left w:val="single" w:sz="4" w:space="0" w:color="auto"/>
              <w:bottom w:val="single" w:sz="4" w:space="0" w:color="auto"/>
              <w:right w:val="single" w:sz="4" w:space="0" w:color="auto"/>
            </w:tcBorders>
            <w:hideMark/>
          </w:tcPr>
          <w:p w14:paraId="5434D919" w14:textId="77777777" w:rsidR="008B17DF" w:rsidRDefault="008B17DF">
            <w:pPr>
              <w:jc w:val="right"/>
            </w:pPr>
            <w:r>
              <w:t>23%</w:t>
            </w:r>
          </w:p>
        </w:tc>
        <w:tc>
          <w:tcPr>
            <w:tcW w:w="1368" w:type="dxa"/>
            <w:tcBorders>
              <w:top w:val="single" w:sz="4" w:space="0" w:color="auto"/>
              <w:left w:val="single" w:sz="4" w:space="0" w:color="auto"/>
              <w:bottom w:val="single" w:sz="4" w:space="0" w:color="auto"/>
              <w:right w:val="single" w:sz="4" w:space="0" w:color="auto"/>
            </w:tcBorders>
            <w:hideMark/>
          </w:tcPr>
          <w:p w14:paraId="5434D91A" w14:textId="77777777" w:rsidR="008B17DF" w:rsidRDefault="008B17DF">
            <w:pPr>
              <w:jc w:val="right"/>
            </w:pPr>
            <w:r>
              <w:t>35%</w:t>
            </w:r>
          </w:p>
        </w:tc>
      </w:tr>
    </w:tbl>
    <w:p w14:paraId="5434D91C" w14:textId="77777777" w:rsidR="008B17DF" w:rsidRDefault="008B17DF" w:rsidP="008B17DF"/>
    <w:p w14:paraId="5434D91D" w14:textId="77777777" w:rsidR="008B17DF" w:rsidRDefault="008B17DF" w:rsidP="008B17DF">
      <w:pPr>
        <w:spacing w:line="480" w:lineRule="auto"/>
      </w:pPr>
      <w:r>
        <w:rPr>
          <w:noProof/>
        </w:rPr>
        <w:drawing>
          <wp:anchor distT="0" distB="0" distL="114300" distR="114300" simplePos="0" relativeHeight="251656704" behindDoc="0" locked="0" layoutInCell="1" allowOverlap="1" wp14:anchorId="5434D978" wp14:editId="5434D979">
            <wp:simplePos x="0" y="0"/>
            <wp:positionH relativeFrom="column">
              <wp:posOffset>2800350</wp:posOffset>
            </wp:positionH>
            <wp:positionV relativeFrom="paragraph">
              <wp:posOffset>340360</wp:posOffset>
            </wp:positionV>
            <wp:extent cx="3554095" cy="2133600"/>
            <wp:effectExtent l="19050" t="0" r="8255" b="0"/>
            <wp:wrapSquare wrapText="bothSides"/>
            <wp:docPr id="2" name="Picture 2" descr="enrollment 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ollment Pell.png"/>
                    <pic:cNvPicPr>
                      <a:picLocks noChangeAspect="1" noChangeArrowheads="1"/>
                    </pic:cNvPicPr>
                  </pic:nvPicPr>
                  <pic:blipFill>
                    <a:blip r:embed="rId5" cstate="print"/>
                    <a:srcRect/>
                    <a:stretch>
                      <a:fillRect/>
                    </a:stretch>
                  </pic:blipFill>
                  <pic:spPr bwMode="auto">
                    <a:xfrm>
                      <a:off x="0" y="0"/>
                      <a:ext cx="3554095" cy="2133600"/>
                    </a:xfrm>
                    <a:prstGeom prst="rect">
                      <a:avLst/>
                    </a:prstGeom>
                    <a:noFill/>
                  </pic:spPr>
                </pic:pic>
              </a:graphicData>
            </a:graphic>
          </wp:anchor>
        </w:drawing>
      </w:r>
      <w:r>
        <w:tab/>
      </w:r>
    </w:p>
    <w:p w14:paraId="5434D91E" w14:textId="77777777" w:rsidR="008B17DF" w:rsidRDefault="008B17DF" w:rsidP="008B17DF">
      <w:pPr>
        <w:spacing w:line="480" w:lineRule="auto"/>
      </w:pPr>
      <w:r>
        <w:t>The proportion of students in these courses who belong to traditionally underserved or at-risk populations is higher in these courses than in the general population.  Particularly for Math 112, the students enrolling in 2013-14 are more often PELL-eligible, first-generation and ethnic minority than the cohort of fall 2013 entering first-time students.</w:t>
      </w:r>
    </w:p>
    <w:p w14:paraId="5434D91F" w14:textId="77777777" w:rsidR="008B17DF" w:rsidRDefault="008B17DF" w:rsidP="008B17DF"/>
    <w:tbl>
      <w:tblPr>
        <w:tblStyle w:val="TableGrid"/>
        <w:tblW w:w="0" w:type="auto"/>
        <w:tblLook w:val="04A0" w:firstRow="1" w:lastRow="0" w:firstColumn="1" w:lastColumn="0" w:noHBand="0" w:noVBand="1"/>
      </w:tblPr>
      <w:tblGrid>
        <w:gridCol w:w="1915"/>
        <w:gridCol w:w="1915"/>
        <w:gridCol w:w="1915"/>
        <w:gridCol w:w="1915"/>
        <w:gridCol w:w="1916"/>
      </w:tblGrid>
      <w:tr w:rsidR="008B17DF" w14:paraId="5434D921" w14:textId="77777777" w:rsidTr="008B17DF">
        <w:tc>
          <w:tcPr>
            <w:tcW w:w="9576" w:type="dxa"/>
            <w:gridSpan w:val="5"/>
            <w:tcBorders>
              <w:top w:val="single" w:sz="4" w:space="0" w:color="auto"/>
              <w:left w:val="single" w:sz="4" w:space="0" w:color="auto"/>
              <w:bottom w:val="single" w:sz="4" w:space="0" w:color="auto"/>
              <w:right w:val="single" w:sz="4" w:space="0" w:color="auto"/>
            </w:tcBorders>
            <w:hideMark/>
          </w:tcPr>
          <w:p w14:paraId="5434D920" w14:textId="77777777" w:rsidR="008B17DF" w:rsidRDefault="008B17DF">
            <w:pPr>
              <w:jc w:val="center"/>
              <w:rPr>
                <w:b/>
              </w:rPr>
            </w:pPr>
            <w:r>
              <w:rPr>
                <w:b/>
              </w:rPr>
              <w:t>Proportion of Underserved or At-Risk Students</w:t>
            </w:r>
          </w:p>
        </w:tc>
      </w:tr>
      <w:tr w:rsidR="008B17DF" w14:paraId="5434D927" w14:textId="77777777" w:rsidTr="008B17DF">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22" w14:textId="77777777" w:rsidR="008B17DF" w:rsidRDefault="008B17DF">
            <w:pPr>
              <w:jc w:val="center"/>
            </w:pPr>
            <w:r>
              <w:t>Fall 2013 First-Time Students</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23" w14:textId="77777777" w:rsidR="008B17DF" w:rsidRDefault="008B17DF">
            <w:pPr>
              <w:jc w:val="center"/>
            </w:pPr>
            <w:r>
              <w:t>Number of Students</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24" w14:textId="77777777" w:rsidR="008B17DF" w:rsidRDefault="008B17DF">
            <w:pPr>
              <w:jc w:val="center"/>
            </w:pPr>
            <w:r>
              <w:t>Proportion of New Student Cohort</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25" w14:textId="77777777" w:rsidR="008B17DF" w:rsidRDefault="008B17DF">
            <w:pPr>
              <w:jc w:val="center"/>
            </w:pPr>
            <w:r>
              <w:t>Proportion of Math 112 Enrollment</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26" w14:textId="77777777" w:rsidR="008B17DF" w:rsidRDefault="008B17DF">
            <w:pPr>
              <w:jc w:val="center"/>
            </w:pPr>
            <w:r>
              <w:t>Proportion of Math 114 Enrollment</w:t>
            </w:r>
          </w:p>
        </w:tc>
      </w:tr>
      <w:tr w:rsidR="008B17DF" w14:paraId="5434D92B" w14:textId="77777777" w:rsidTr="008B17DF">
        <w:tc>
          <w:tcPr>
            <w:tcW w:w="1915" w:type="dxa"/>
            <w:tcBorders>
              <w:top w:val="single" w:sz="4" w:space="0" w:color="auto"/>
              <w:left w:val="single" w:sz="4" w:space="0" w:color="auto"/>
              <w:bottom w:val="single" w:sz="4" w:space="0" w:color="auto"/>
              <w:right w:val="single" w:sz="4" w:space="0" w:color="auto"/>
            </w:tcBorders>
            <w:hideMark/>
          </w:tcPr>
          <w:p w14:paraId="5434D928" w14:textId="77777777" w:rsidR="008B17DF" w:rsidRDefault="008B17DF">
            <w:pPr>
              <w:rPr>
                <w:b/>
              </w:rPr>
            </w:pPr>
            <w:r>
              <w:rPr>
                <w:b/>
              </w:rPr>
              <w:t>All</w:t>
            </w:r>
          </w:p>
        </w:tc>
        <w:tc>
          <w:tcPr>
            <w:tcW w:w="1915" w:type="dxa"/>
            <w:tcBorders>
              <w:top w:val="single" w:sz="4" w:space="0" w:color="auto"/>
              <w:left w:val="single" w:sz="4" w:space="0" w:color="auto"/>
              <w:bottom w:val="single" w:sz="4" w:space="0" w:color="auto"/>
              <w:right w:val="single" w:sz="4" w:space="0" w:color="auto"/>
            </w:tcBorders>
            <w:hideMark/>
          </w:tcPr>
          <w:p w14:paraId="5434D929" w14:textId="77777777" w:rsidR="008B17DF" w:rsidRDefault="008B17DF">
            <w:pPr>
              <w:jc w:val="right"/>
              <w:rPr>
                <w:b/>
              </w:rPr>
            </w:pPr>
            <w:r>
              <w:rPr>
                <w:b/>
              </w:rPr>
              <w:t>2,795</w:t>
            </w:r>
          </w:p>
        </w:tc>
        <w:tc>
          <w:tcPr>
            <w:tcW w:w="5746" w:type="dxa"/>
            <w:gridSpan w:val="3"/>
            <w:tcBorders>
              <w:top w:val="single" w:sz="4" w:space="0" w:color="auto"/>
              <w:left w:val="single" w:sz="4" w:space="0" w:color="auto"/>
              <w:bottom w:val="single" w:sz="4" w:space="0" w:color="auto"/>
              <w:right w:val="single" w:sz="4" w:space="0" w:color="auto"/>
            </w:tcBorders>
          </w:tcPr>
          <w:p w14:paraId="5434D92A" w14:textId="77777777" w:rsidR="008B17DF" w:rsidRDefault="008B17DF">
            <w:pPr>
              <w:jc w:val="right"/>
              <w:rPr>
                <w:b/>
              </w:rPr>
            </w:pPr>
          </w:p>
        </w:tc>
      </w:tr>
      <w:tr w:rsidR="008B17DF" w14:paraId="5434D931" w14:textId="77777777" w:rsidTr="008B17DF">
        <w:tc>
          <w:tcPr>
            <w:tcW w:w="1915" w:type="dxa"/>
            <w:tcBorders>
              <w:top w:val="single" w:sz="4" w:space="0" w:color="auto"/>
              <w:left w:val="single" w:sz="4" w:space="0" w:color="auto"/>
              <w:bottom w:val="single" w:sz="4" w:space="0" w:color="auto"/>
              <w:right w:val="single" w:sz="4" w:space="0" w:color="auto"/>
            </w:tcBorders>
            <w:hideMark/>
          </w:tcPr>
          <w:p w14:paraId="5434D92C" w14:textId="77777777" w:rsidR="008B17DF" w:rsidRDefault="008B17DF">
            <w:r>
              <w:t>Pell-Eligible</w:t>
            </w:r>
          </w:p>
        </w:tc>
        <w:tc>
          <w:tcPr>
            <w:tcW w:w="1915" w:type="dxa"/>
            <w:tcBorders>
              <w:top w:val="single" w:sz="4" w:space="0" w:color="auto"/>
              <w:left w:val="single" w:sz="4" w:space="0" w:color="auto"/>
              <w:bottom w:val="single" w:sz="4" w:space="0" w:color="auto"/>
              <w:right w:val="single" w:sz="4" w:space="0" w:color="auto"/>
            </w:tcBorders>
            <w:hideMark/>
          </w:tcPr>
          <w:p w14:paraId="5434D92D" w14:textId="77777777" w:rsidR="008B17DF" w:rsidRDefault="008B17DF">
            <w:pPr>
              <w:jc w:val="right"/>
            </w:pPr>
            <w:r>
              <w:t>667</w:t>
            </w:r>
          </w:p>
        </w:tc>
        <w:tc>
          <w:tcPr>
            <w:tcW w:w="1915" w:type="dxa"/>
            <w:tcBorders>
              <w:top w:val="single" w:sz="4" w:space="0" w:color="auto"/>
              <w:left w:val="single" w:sz="4" w:space="0" w:color="auto"/>
              <w:bottom w:val="single" w:sz="4" w:space="0" w:color="auto"/>
              <w:right w:val="single" w:sz="4" w:space="0" w:color="auto"/>
            </w:tcBorders>
            <w:hideMark/>
          </w:tcPr>
          <w:p w14:paraId="5434D92E" w14:textId="77777777" w:rsidR="008B17DF" w:rsidRDefault="008B17DF">
            <w:pPr>
              <w:jc w:val="right"/>
            </w:pPr>
            <w:r>
              <w:t>24%</w:t>
            </w:r>
          </w:p>
        </w:tc>
        <w:tc>
          <w:tcPr>
            <w:tcW w:w="1915" w:type="dxa"/>
            <w:tcBorders>
              <w:top w:val="single" w:sz="4" w:space="0" w:color="auto"/>
              <w:left w:val="single" w:sz="4" w:space="0" w:color="auto"/>
              <w:bottom w:val="single" w:sz="4" w:space="0" w:color="auto"/>
              <w:right w:val="single" w:sz="4" w:space="0" w:color="auto"/>
            </w:tcBorders>
            <w:hideMark/>
          </w:tcPr>
          <w:p w14:paraId="5434D92F" w14:textId="77777777" w:rsidR="008B17DF" w:rsidRDefault="008B17DF">
            <w:pPr>
              <w:jc w:val="right"/>
            </w:pPr>
            <w:r>
              <w:t>28%</w:t>
            </w:r>
          </w:p>
        </w:tc>
        <w:tc>
          <w:tcPr>
            <w:tcW w:w="1916" w:type="dxa"/>
            <w:tcBorders>
              <w:top w:val="single" w:sz="4" w:space="0" w:color="auto"/>
              <w:left w:val="single" w:sz="4" w:space="0" w:color="auto"/>
              <w:bottom w:val="single" w:sz="4" w:space="0" w:color="auto"/>
              <w:right w:val="single" w:sz="4" w:space="0" w:color="auto"/>
            </w:tcBorders>
            <w:hideMark/>
          </w:tcPr>
          <w:p w14:paraId="5434D930" w14:textId="77777777" w:rsidR="008B17DF" w:rsidRDefault="008B17DF">
            <w:pPr>
              <w:jc w:val="right"/>
            </w:pPr>
            <w:r>
              <w:t>25%</w:t>
            </w:r>
          </w:p>
        </w:tc>
      </w:tr>
      <w:tr w:rsidR="008B17DF" w14:paraId="5434D937" w14:textId="77777777" w:rsidTr="008B17DF">
        <w:tc>
          <w:tcPr>
            <w:tcW w:w="1915" w:type="dxa"/>
            <w:tcBorders>
              <w:top w:val="single" w:sz="4" w:space="0" w:color="auto"/>
              <w:left w:val="single" w:sz="4" w:space="0" w:color="auto"/>
              <w:bottom w:val="single" w:sz="4" w:space="0" w:color="auto"/>
              <w:right w:val="single" w:sz="4" w:space="0" w:color="auto"/>
            </w:tcBorders>
            <w:hideMark/>
          </w:tcPr>
          <w:p w14:paraId="5434D932" w14:textId="77777777" w:rsidR="008B17DF" w:rsidRDefault="008B17DF">
            <w:r>
              <w:lastRenderedPageBreak/>
              <w:t>First Generation</w:t>
            </w:r>
          </w:p>
        </w:tc>
        <w:tc>
          <w:tcPr>
            <w:tcW w:w="1915" w:type="dxa"/>
            <w:tcBorders>
              <w:top w:val="single" w:sz="4" w:space="0" w:color="auto"/>
              <w:left w:val="single" w:sz="4" w:space="0" w:color="auto"/>
              <w:bottom w:val="single" w:sz="4" w:space="0" w:color="auto"/>
              <w:right w:val="single" w:sz="4" w:space="0" w:color="auto"/>
            </w:tcBorders>
            <w:hideMark/>
          </w:tcPr>
          <w:p w14:paraId="5434D933" w14:textId="77777777" w:rsidR="008B17DF" w:rsidRDefault="008B17DF">
            <w:pPr>
              <w:jc w:val="right"/>
            </w:pPr>
            <w:r>
              <w:t>835</w:t>
            </w:r>
          </w:p>
        </w:tc>
        <w:tc>
          <w:tcPr>
            <w:tcW w:w="1915" w:type="dxa"/>
            <w:tcBorders>
              <w:top w:val="single" w:sz="4" w:space="0" w:color="auto"/>
              <w:left w:val="single" w:sz="4" w:space="0" w:color="auto"/>
              <w:bottom w:val="single" w:sz="4" w:space="0" w:color="auto"/>
              <w:right w:val="single" w:sz="4" w:space="0" w:color="auto"/>
            </w:tcBorders>
            <w:hideMark/>
          </w:tcPr>
          <w:p w14:paraId="5434D934" w14:textId="77777777" w:rsidR="008B17DF" w:rsidRDefault="008B17DF">
            <w:pPr>
              <w:jc w:val="right"/>
            </w:pPr>
            <w:r>
              <w:t>30%</w:t>
            </w:r>
          </w:p>
        </w:tc>
        <w:tc>
          <w:tcPr>
            <w:tcW w:w="1915" w:type="dxa"/>
            <w:tcBorders>
              <w:top w:val="single" w:sz="4" w:space="0" w:color="auto"/>
              <w:left w:val="single" w:sz="4" w:space="0" w:color="auto"/>
              <w:bottom w:val="single" w:sz="4" w:space="0" w:color="auto"/>
              <w:right w:val="single" w:sz="4" w:space="0" w:color="auto"/>
            </w:tcBorders>
            <w:hideMark/>
          </w:tcPr>
          <w:p w14:paraId="5434D935" w14:textId="77777777" w:rsidR="008B17DF" w:rsidRDefault="008B17DF">
            <w:pPr>
              <w:jc w:val="right"/>
            </w:pPr>
            <w:r>
              <w:t>35%</w:t>
            </w:r>
          </w:p>
        </w:tc>
        <w:tc>
          <w:tcPr>
            <w:tcW w:w="1916" w:type="dxa"/>
            <w:tcBorders>
              <w:top w:val="single" w:sz="4" w:space="0" w:color="auto"/>
              <w:left w:val="single" w:sz="4" w:space="0" w:color="auto"/>
              <w:bottom w:val="single" w:sz="4" w:space="0" w:color="auto"/>
              <w:right w:val="single" w:sz="4" w:space="0" w:color="auto"/>
            </w:tcBorders>
            <w:hideMark/>
          </w:tcPr>
          <w:p w14:paraId="5434D936" w14:textId="77777777" w:rsidR="008B17DF" w:rsidRDefault="008B17DF">
            <w:pPr>
              <w:jc w:val="right"/>
            </w:pPr>
            <w:r>
              <w:t>29%</w:t>
            </w:r>
          </w:p>
        </w:tc>
      </w:tr>
      <w:tr w:rsidR="008B17DF" w14:paraId="5434D93D" w14:textId="77777777" w:rsidTr="008B17DF">
        <w:tc>
          <w:tcPr>
            <w:tcW w:w="1915" w:type="dxa"/>
            <w:tcBorders>
              <w:top w:val="single" w:sz="4" w:space="0" w:color="auto"/>
              <w:left w:val="single" w:sz="4" w:space="0" w:color="auto"/>
              <w:bottom w:val="single" w:sz="4" w:space="0" w:color="auto"/>
              <w:right w:val="single" w:sz="4" w:space="0" w:color="auto"/>
            </w:tcBorders>
            <w:hideMark/>
          </w:tcPr>
          <w:p w14:paraId="5434D938" w14:textId="77777777" w:rsidR="008B17DF" w:rsidRDefault="008B17DF">
            <w:r>
              <w:t>Ethnic Minority</w:t>
            </w:r>
          </w:p>
        </w:tc>
        <w:tc>
          <w:tcPr>
            <w:tcW w:w="1915" w:type="dxa"/>
            <w:tcBorders>
              <w:top w:val="single" w:sz="4" w:space="0" w:color="auto"/>
              <w:left w:val="single" w:sz="4" w:space="0" w:color="auto"/>
              <w:bottom w:val="single" w:sz="4" w:space="0" w:color="auto"/>
              <w:right w:val="single" w:sz="4" w:space="0" w:color="auto"/>
            </w:tcBorders>
            <w:hideMark/>
          </w:tcPr>
          <w:p w14:paraId="5434D939" w14:textId="77777777" w:rsidR="008B17DF" w:rsidRDefault="008B17DF">
            <w:pPr>
              <w:jc w:val="right"/>
            </w:pPr>
            <w:r>
              <w:t>711</w:t>
            </w:r>
          </w:p>
        </w:tc>
        <w:tc>
          <w:tcPr>
            <w:tcW w:w="1915" w:type="dxa"/>
            <w:tcBorders>
              <w:top w:val="single" w:sz="4" w:space="0" w:color="auto"/>
              <w:left w:val="single" w:sz="4" w:space="0" w:color="auto"/>
              <w:bottom w:val="single" w:sz="4" w:space="0" w:color="auto"/>
              <w:right w:val="single" w:sz="4" w:space="0" w:color="auto"/>
            </w:tcBorders>
            <w:hideMark/>
          </w:tcPr>
          <w:p w14:paraId="5434D93A" w14:textId="77777777" w:rsidR="008B17DF" w:rsidRDefault="008B17DF">
            <w:pPr>
              <w:jc w:val="right"/>
            </w:pPr>
            <w:r>
              <w:t>25%</w:t>
            </w:r>
          </w:p>
        </w:tc>
        <w:tc>
          <w:tcPr>
            <w:tcW w:w="1915" w:type="dxa"/>
            <w:tcBorders>
              <w:top w:val="single" w:sz="4" w:space="0" w:color="auto"/>
              <w:left w:val="single" w:sz="4" w:space="0" w:color="auto"/>
              <w:bottom w:val="single" w:sz="4" w:space="0" w:color="auto"/>
              <w:right w:val="single" w:sz="4" w:space="0" w:color="auto"/>
            </w:tcBorders>
            <w:hideMark/>
          </w:tcPr>
          <w:p w14:paraId="5434D93B" w14:textId="77777777" w:rsidR="008B17DF" w:rsidRDefault="008B17DF">
            <w:pPr>
              <w:jc w:val="right"/>
            </w:pPr>
            <w:r>
              <w:t>28%</w:t>
            </w:r>
          </w:p>
        </w:tc>
        <w:tc>
          <w:tcPr>
            <w:tcW w:w="1916" w:type="dxa"/>
            <w:tcBorders>
              <w:top w:val="single" w:sz="4" w:space="0" w:color="auto"/>
              <w:left w:val="single" w:sz="4" w:space="0" w:color="auto"/>
              <w:bottom w:val="single" w:sz="4" w:space="0" w:color="auto"/>
              <w:right w:val="single" w:sz="4" w:space="0" w:color="auto"/>
            </w:tcBorders>
            <w:hideMark/>
          </w:tcPr>
          <w:p w14:paraId="5434D93C" w14:textId="77777777" w:rsidR="008B17DF" w:rsidRDefault="008B17DF">
            <w:pPr>
              <w:jc w:val="right"/>
            </w:pPr>
            <w:r>
              <w:t>26%</w:t>
            </w:r>
          </w:p>
        </w:tc>
      </w:tr>
    </w:tbl>
    <w:p w14:paraId="5434D93E" w14:textId="77777777" w:rsidR="008B17DF" w:rsidRDefault="008B17DF" w:rsidP="008B17DF"/>
    <w:p w14:paraId="5434D93F" w14:textId="77777777" w:rsidR="008B17DF" w:rsidRDefault="008B17DF" w:rsidP="008B17DF">
      <w:pPr>
        <w:spacing w:line="480" w:lineRule="auto"/>
      </w:pPr>
    </w:p>
    <w:p w14:paraId="5434D940" w14:textId="77777777" w:rsidR="008B17DF" w:rsidRDefault="008B17DF" w:rsidP="008B17DF">
      <w:pPr>
        <w:spacing w:line="480" w:lineRule="auto"/>
      </w:pPr>
      <w:r>
        <w:tab/>
        <w:t>The course outcomes for these subset populations tends to be even lower than the group of all students enrolled in these courses.  We see that for students who took Math 112 in the 2013-14 year, 45% received a grade of withdrawal, failure or D.  Fifty percent of the group of PELL-eligible students received this poor outcome, as well as 53% of first-generation and 48% of the ethnic minority students.</w:t>
      </w:r>
    </w:p>
    <w:p w14:paraId="5434D941" w14:textId="77777777" w:rsidR="008B17DF" w:rsidRDefault="008B17DF" w:rsidP="008B17DF"/>
    <w:tbl>
      <w:tblPr>
        <w:tblStyle w:val="TableGrid"/>
        <w:tblW w:w="0" w:type="auto"/>
        <w:tblLook w:val="04A0" w:firstRow="1" w:lastRow="0" w:firstColumn="1" w:lastColumn="0" w:noHBand="0" w:noVBand="1"/>
      </w:tblPr>
      <w:tblGrid>
        <w:gridCol w:w="1998"/>
        <w:gridCol w:w="1350"/>
        <w:gridCol w:w="1170"/>
        <w:gridCol w:w="1350"/>
        <w:gridCol w:w="1260"/>
        <w:gridCol w:w="1170"/>
        <w:gridCol w:w="1278"/>
      </w:tblGrid>
      <w:tr w:rsidR="008B17DF" w14:paraId="5434D943" w14:textId="77777777" w:rsidTr="008B17DF">
        <w:tc>
          <w:tcPr>
            <w:tcW w:w="9576" w:type="dxa"/>
            <w:gridSpan w:val="7"/>
            <w:tcBorders>
              <w:top w:val="single" w:sz="4" w:space="0" w:color="auto"/>
              <w:left w:val="single" w:sz="4" w:space="0" w:color="auto"/>
              <w:bottom w:val="single" w:sz="4" w:space="0" w:color="auto"/>
              <w:right w:val="single" w:sz="4" w:space="0" w:color="auto"/>
            </w:tcBorders>
            <w:hideMark/>
          </w:tcPr>
          <w:p w14:paraId="5434D942" w14:textId="77777777" w:rsidR="008B17DF" w:rsidRDefault="008B17DF">
            <w:pPr>
              <w:jc w:val="center"/>
              <w:rPr>
                <w:b/>
              </w:rPr>
            </w:pPr>
            <w:r>
              <w:rPr>
                <w:b/>
              </w:rPr>
              <w:t>Grades for Underserved or At-Risk Students</w:t>
            </w:r>
          </w:p>
        </w:tc>
      </w:tr>
      <w:tr w:rsidR="008B17DF" w14:paraId="5434D949" w14:textId="77777777" w:rsidTr="008B17DF">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4D944" w14:textId="77777777" w:rsidR="008B17DF" w:rsidRDefault="008B17DF"/>
          <w:p w14:paraId="5434D945" w14:textId="77777777" w:rsidR="008B17DF" w:rsidRDefault="008B17DF">
            <w:pPr>
              <w:jc w:val="center"/>
            </w:pPr>
          </w:p>
          <w:p w14:paraId="5434D946" w14:textId="77777777" w:rsidR="008B17DF" w:rsidRDefault="008B17DF">
            <w:pPr>
              <w:jc w:val="center"/>
            </w:pPr>
            <w:r>
              <w:t>2013-14</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47" w14:textId="77777777" w:rsidR="008B17DF" w:rsidRDefault="008B17DF">
            <w:pPr>
              <w:jc w:val="center"/>
            </w:pPr>
            <w:r>
              <w:t>Math 112</w:t>
            </w:r>
          </w:p>
        </w:tc>
        <w:tc>
          <w:tcPr>
            <w:tcW w:w="37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48" w14:textId="77777777" w:rsidR="008B17DF" w:rsidRDefault="008B17DF">
            <w:pPr>
              <w:jc w:val="center"/>
            </w:pPr>
            <w:r>
              <w:t>Math 114</w:t>
            </w:r>
          </w:p>
        </w:tc>
      </w:tr>
      <w:tr w:rsidR="008B17DF" w14:paraId="5434D955" w14:textId="77777777" w:rsidTr="008B17DF">
        <w:tc>
          <w:tcPr>
            <w:tcW w:w="0" w:type="auto"/>
            <w:vMerge/>
            <w:tcBorders>
              <w:top w:val="single" w:sz="4" w:space="0" w:color="auto"/>
              <w:left w:val="single" w:sz="4" w:space="0" w:color="auto"/>
              <w:bottom w:val="single" w:sz="4" w:space="0" w:color="auto"/>
              <w:right w:val="single" w:sz="4" w:space="0" w:color="auto"/>
            </w:tcBorders>
            <w:vAlign w:val="center"/>
            <w:hideMark/>
          </w:tcPr>
          <w:p w14:paraId="5434D94A" w14:textId="77777777" w:rsidR="008B17DF" w:rsidRDefault="008B17DF"/>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4B" w14:textId="77777777" w:rsidR="008B17DF" w:rsidRDefault="008B17DF">
            <w:pPr>
              <w:jc w:val="center"/>
            </w:pPr>
            <w:r>
              <w:t>Total Enrolled</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4C" w14:textId="77777777" w:rsidR="008B17DF" w:rsidRDefault="008B17DF">
            <w:pPr>
              <w:jc w:val="center"/>
            </w:pPr>
            <w:r>
              <w:t>Percent</w:t>
            </w:r>
          </w:p>
          <w:p w14:paraId="5434D94D" w14:textId="77777777" w:rsidR="008B17DF" w:rsidRDefault="008B17DF">
            <w:pPr>
              <w:jc w:val="center"/>
            </w:pPr>
            <w:r>
              <w:t>W or F</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4E" w14:textId="77777777" w:rsidR="008B17DF" w:rsidRDefault="008B17DF">
            <w:pPr>
              <w:jc w:val="center"/>
            </w:pPr>
            <w:r>
              <w:t>Percent</w:t>
            </w:r>
          </w:p>
          <w:p w14:paraId="5434D94F" w14:textId="77777777" w:rsidR="008B17DF" w:rsidRDefault="008B17DF">
            <w:pPr>
              <w:jc w:val="center"/>
            </w:pPr>
            <w:r>
              <w:t>W, F or 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50" w14:textId="77777777" w:rsidR="008B17DF" w:rsidRDefault="008B17DF">
            <w:pPr>
              <w:jc w:val="center"/>
            </w:pPr>
            <w:r>
              <w:t>Total Enrolled</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51" w14:textId="77777777" w:rsidR="008B17DF" w:rsidRDefault="008B17DF">
            <w:pPr>
              <w:jc w:val="center"/>
            </w:pPr>
            <w:r>
              <w:t>Percent</w:t>
            </w:r>
          </w:p>
          <w:p w14:paraId="5434D952" w14:textId="77777777" w:rsidR="008B17DF" w:rsidRDefault="008B17DF">
            <w:pPr>
              <w:jc w:val="center"/>
            </w:pPr>
            <w:r>
              <w:t>W or F</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4D953" w14:textId="77777777" w:rsidR="008B17DF" w:rsidRDefault="008B17DF">
            <w:pPr>
              <w:jc w:val="center"/>
            </w:pPr>
            <w:r>
              <w:t>Percent</w:t>
            </w:r>
          </w:p>
          <w:p w14:paraId="5434D954" w14:textId="77777777" w:rsidR="008B17DF" w:rsidRDefault="008B17DF">
            <w:pPr>
              <w:jc w:val="center"/>
            </w:pPr>
            <w:r>
              <w:t>W, F or D</w:t>
            </w:r>
          </w:p>
        </w:tc>
      </w:tr>
      <w:tr w:rsidR="008B17DF" w14:paraId="5434D95D" w14:textId="77777777" w:rsidTr="008B17DF">
        <w:tc>
          <w:tcPr>
            <w:tcW w:w="1998" w:type="dxa"/>
            <w:tcBorders>
              <w:top w:val="single" w:sz="4" w:space="0" w:color="auto"/>
              <w:left w:val="single" w:sz="4" w:space="0" w:color="auto"/>
              <w:bottom w:val="single" w:sz="4" w:space="0" w:color="auto"/>
              <w:right w:val="single" w:sz="4" w:space="0" w:color="auto"/>
            </w:tcBorders>
            <w:hideMark/>
          </w:tcPr>
          <w:p w14:paraId="5434D956" w14:textId="77777777" w:rsidR="008B17DF" w:rsidRDefault="008B17DF">
            <w:pPr>
              <w:rPr>
                <w:b/>
              </w:rPr>
            </w:pPr>
            <w:r>
              <w:rPr>
                <w:b/>
              </w:rPr>
              <w:t>All Students</w:t>
            </w:r>
          </w:p>
        </w:tc>
        <w:tc>
          <w:tcPr>
            <w:tcW w:w="1350" w:type="dxa"/>
            <w:tcBorders>
              <w:top w:val="single" w:sz="4" w:space="0" w:color="auto"/>
              <w:left w:val="single" w:sz="4" w:space="0" w:color="auto"/>
              <w:bottom w:val="single" w:sz="4" w:space="0" w:color="auto"/>
              <w:right w:val="single" w:sz="4" w:space="0" w:color="auto"/>
            </w:tcBorders>
            <w:hideMark/>
          </w:tcPr>
          <w:p w14:paraId="5434D957" w14:textId="77777777" w:rsidR="008B17DF" w:rsidRDefault="008B17DF">
            <w:pPr>
              <w:jc w:val="right"/>
              <w:rPr>
                <w:b/>
              </w:rPr>
            </w:pPr>
            <w:r>
              <w:rPr>
                <w:b/>
              </w:rPr>
              <w:t>1,422</w:t>
            </w:r>
          </w:p>
        </w:tc>
        <w:tc>
          <w:tcPr>
            <w:tcW w:w="1170" w:type="dxa"/>
            <w:tcBorders>
              <w:top w:val="single" w:sz="4" w:space="0" w:color="auto"/>
              <w:left w:val="single" w:sz="4" w:space="0" w:color="auto"/>
              <w:bottom w:val="single" w:sz="4" w:space="0" w:color="auto"/>
              <w:right w:val="single" w:sz="4" w:space="0" w:color="auto"/>
            </w:tcBorders>
            <w:hideMark/>
          </w:tcPr>
          <w:p w14:paraId="5434D958" w14:textId="77777777" w:rsidR="008B17DF" w:rsidRDefault="008B17DF">
            <w:pPr>
              <w:jc w:val="right"/>
              <w:rPr>
                <w:b/>
              </w:rPr>
            </w:pPr>
            <w:r>
              <w:rPr>
                <w:b/>
              </w:rPr>
              <w:t>27%</w:t>
            </w:r>
          </w:p>
        </w:tc>
        <w:tc>
          <w:tcPr>
            <w:tcW w:w="1350" w:type="dxa"/>
            <w:tcBorders>
              <w:top w:val="single" w:sz="4" w:space="0" w:color="auto"/>
              <w:left w:val="single" w:sz="4" w:space="0" w:color="auto"/>
              <w:bottom w:val="single" w:sz="4" w:space="0" w:color="auto"/>
              <w:right w:val="single" w:sz="4" w:space="0" w:color="auto"/>
            </w:tcBorders>
            <w:hideMark/>
          </w:tcPr>
          <w:p w14:paraId="5434D959" w14:textId="77777777" w:rsidR="008B17DF" w:rsidRDefault="008B17DF">
            <w:pPr>
              <w:jc w:val="right"/>
              <w:rPr>
                <w:b/>
              </w:rPr>
            </w:pPr>
            <w:r>
              <w:rPr>
                <w:b/>
              </w:rPr>
              <w:t>45%</w:t>
            </w:r>
          </w:p>
        </w:tc>
        <w:tc>
          <w:tcPr>
            <w:tcW w:w="1260" w:type="dxa"/>
            <w:tcBorders>
              <w:top w:val="single" w:sz="4" w:space="0" w:color="auto"/>
              <w:left w:val="single" w:sz="4" w:space="0" w:color="auto"/>
              <w:bottom w:val="single" w:sz="4" w:space="0" w:color="auto"/>
              <w:right w:val="single" w:sz="4" w:space="0" w:color="auto"/>
            </w:tcBorders>
            <w:hideMark/>
          </w:tcPr>
          <w:p w14:paraId="5434D95A" w14:textId="77777777" w:rsidR="008B17DF" w:rsidRDefault="008B17DF">
            <w:pPr>
              <w:jc w:val="right"/>
              <w:rPr>
                <w:b/>
              </w:rPr>
            </w:pPr>
            <w:r>
              <w:rPr>
                <w:b/>
              </w:rPr>
              <w:t>1,167</w:t>
            </w:r>
          </w:p>
        </w:tc>
        <w:tc>
          <w:tcPr>
            <w:tcW w:w="1170" w:type="dxa"/>
            <w:tcBorders>
              <w:top w:val="single" w:sz="4" w:space="0" w:color="auto"/>
              <w:left w:val="single" w:sz="4" w:space="0" w:color="auto"/>
              <w:bottom w:val="single" w:sz="4" w:space="0" w:color="auto"/>
              <w:right w:val="single" w:sz="4" w:space="0" w:color="auto"/>
            </w:tcBorders>
            <w:hideMark/>
          </w:tcPr>
          <w:p w14:paraId="5434D95B" w14:textId="77777777" w:rsidR="008B17DF" w:rsidRDefault="008B17DF">
            <w:pPr>
              <w:jc w:val="right"/>
              <w:rPr>
                <w:b/>
              </w:rPr>
            </w:pPr>
            <w:r>
              <w:rPr>
                <w:b/>
              </w:rPr>
              <w:t>23%</w:t>
            </w:r>
          </w:p>
        </w:tc>
        <w:tc>
          <w:tcPr>
            <w:tcW w:w="1278" w:type="dxa"/>
            <w:tcBorders>
              <w:top w:val="single" w:sz="4" w:space="0" w:color="auto"/>
              <w:left w:val="single" w:sz="4" w:space="0" w:color="auto"/>
              <w:bottom w:val="single" w:sz="4" w:space="0" w:color="auto"/>
              <w:right w:val="single" w:sz="4" w:space="0" w:color="auto"/>
            </w:tcBorders>
            <w:hideMark/>
          </w:tcPr>
          <w:p w14:paraId="5434D95C" w14:textId="77777777" w:rsidR="008B17DF" w:rsidRDefault="008B17DF">
            <w:pPr>
              <w:jc w:val="right"/>
              <w:rPr>
                <w:b/>
              </w:rPr>
            </w:pPr>
            <w:r>
              <w:rPr>
                <w:b/>
              </w:rPr>
              <w:t>35%</w:t>
            </w:r>
          </w:p>
        </w:tc>
      </w:tr>
      <w:tr w:rsidR="008B17DF" w14:paraId="5434D965" w14:textId="77777777" w:rsidTr="008B17DF">
        <w:tc>
          <w:tcPr>
            <w:tcW w:w="1998" w:type="dxa"/>
            <w:tcBorders>
              <w:top w:val="single" w:sz="4" w:space="0" w:color="auto"/>
              <w:left w:val="single" w:sz="4" w:space="0" w:color="auto"/>
              <w:bottom w:val="single" w:sz="4" w:space="0" w:color="auto"/>
              <w:right w:val="single" w:sz="4" w:space="0" w:color="auto"/>
            </w:tcBorders>
            <w:hideMark/>
          </w:tcPr>
          <w:p w14:paraId="5434D95E" w14:textId="77777777" w:rsidR="008B17DF" w:rsidRDefault="008B17DF">
            <w:r>
              <w:t>Pell-Eligible</w:t>
            </w:r>
          </w:p>
        </w:tc>
        <w:tc>
          <w:tcPr>
            <w:tcW w:w="1350" w:type="dxa"/>
            <w:tcBorders>
              <w:top w:val="single" w:sz="4" w:space="0" w:color="auto"/>
              <w:left w:val="single" w:sz="4" w:space="0" w:color="auto"/>
              <w:bottom w:val="single" w:sz="4" w:space="0" w:color="auto"/>
              <w:right w:val="single" w:sz="4" w:space="0" w:color="auto"/>
            </w:tcBorders>
            <w:hideMark/>
          </w:tcPr>
          <w:p w14:paraId="5434D95F" w14:textId="77777777" w:rsidR="008B17DF" w:rsidRDefault="008B17DF">
            <w:pPr>
              <w:jc w:val="right"/>
            </w:pPr>
            <w:r>
              <w:t>402</w:t>
            </w:r>
          </w:p>
        </w:tc>
        <w:tc>
          <w:tcPr>
            <w:tcW w:w="1170" w:type="dxa"/>
            <w:tcBorders>
              <w:top w:val="single" w:sz="4" w:space="0" w:color="auto"/>
              <w:left w:val="single" w:sz="4" w:space="0" w:color="auto"/>
              <w:bottom w:val="single" w:sz="4" w:space="0" w:color="auto"/>
              <w:right w:val="single" w:sz="4" w:space="0" w:color="auto"/>
            </w:tcBorders>
            <w:hideMark/>
          </w:tcPr>
          <w:p w14:paraId="5434D960" w14:textId="77777777" w:rsidR="008B17DF" w:rsidRDefault="008B17DF">
            <w:pPr>
              <w:jc w:val="right"/>
            </w:pPr>
            <w:r>
              <w:t>30%</w:t>
            </w:r>
          </w:p>
        </w:tc>
        <w:tc>
          <w:tcPr>
            <w:tcW w:w="1350" w:type="dxa"/>
            <w:tcBorders>
              <w:top w:val="single" w:sz="4" w:space="0" w:color="auto"/>
              <w:left w:val="single" w:sz="4" w:space="0" w:color="auto"/>
              <w:bottom w:val="single" w:sz="4" w:space="0" w:color="auto"/>
              <w:right w:val="single" w:sz="4" w:space="0" w:color="auto"/>
            </w:tcBorders>
            <w:hideMark/>
          </w:tcPr>
          <w:p w14:paraId="5434D961" w14:textId="77777777" w:rsidR="008B17DF" w:rsidRDefault="008B17DF">
            <w:pPr>
              <w:jc w:val="right"/>
            </w:pPr>
            <w:r>
              <w:t>50%</w:t>
            </w:r>
          </w:p>
        </w:tc>
        <w:tc>
          <w:tcPr>
            <w:tcW w:w="1260" w:type="dxa"/>
            <w:tcBorders>
              <w:top w:val="single" w:sz="4" w:space="0" w:color="auto"/>
              <w:left w:val="single" w:sz="4" w:space="0" w:color="auto"/>
              <w:bottom w:val="single" w:sz="4" w:space="0" w:color="auto"/>
              <w:right w:val="single" w:sz="4" w:space="0" w:color="auto"/>
            </w:tcBorders>
            <w:hideMark/>
          </w:tcPr>
          <w:p w14:paraId="5434D962" w14:textId="77777777" w:rsidR="008B17DF" w:rsidRDefault="008B17DF">
            <w:pPr>
              <w:jc w:val="right"/>
            </w:pPr>
            <w:r>
              <w:t>296</w:t>
            </w:r>
          </w:p>
        </w:tc>
        <w:tc>
          <w:tcPr>
            <w:tcW w:w="1170" w:type="dxa"/>
            <w:tcBorders>
              <w:top w:val="single" w:sz="4" w:space="0" w:color="auto"/>
              <w:left w:val="single" w:sz="4" w:space="0" w:color="auto"/>
              <w:bottom w:val="single" w:sz="4" w:space="0" w:color="auto"/>
              <w:right w:val="single" w:sz="4" w:space="0" w:color="auto"/>
            </w:tcBorders>
            <w:hideMark/>
          </w:tcPr>
          <w:p w14:paraId="5434D963" w14:textId="77777777" w:rsidR="008B17DF" w:rsidRDefault="008B17DF">
            <w:pPr>
              <w:jc w:val="right"/>
            </w:pPr>
            <w:r>
              <w:t>24%</w:t>
            </w:r>
          </w:p>
        </w:tc>
        <w:tc>
          <w:tcPr>
            <w:tcW w:w="1278" w:type="dxa"/>
            <w:tcBorders>
              <w:top w:val="single" w:sz="4" w:space="0" w:color="auto"/>
              <w:left w:val="single" w:sz="4" w:space="0" w:color="auto"/>
              <w:bottom w:val="single" w:sz="4" w:space="0" w:color="auto"/>
              <w:right w:val="single" w:sz="4" w:space="0" w:color="auto"/>
            </w:tcBorders>
            <w:hideMark/>
          </w:tcPr>
          <w:p w14:paraId="5434D964" w14:textId="77777777" w:rsidR="008B17DF" w:rsidRDefault="008B17DF">
            <w:pPr>
              <w:jc w:val="right"/>
            </w:pPr>
            <w:r>
              <w:t>38%</w:t>
            </w:r>
          </w:p>
        </w:tc>
      </w:tr>
      <w:tr w:rsidR="008B17DF" w14:paraId="5434D96D" w14:textId="77777777" w:rsidTr="008B17DF">
        <w:tc>
          <w:tcPr>
            <w:tcW w:w="1998" w:type="dxa"/>
            <w:tcBorders>
              <w:top w:val="single" w:sz="4" w:space="0" w:color="auto"/>
              <w:left w:val="single" w:sz="4" w:space="0" w:color="auto"/>
              <w:bottom w:val="single" w:sz="4" w:space="0" w:color="auto"/>
              <w:right w:val="single" w:sz="4" w:space="0" w:color="auto"/>
            </w:tcBorders>
            <w:hideMark/>
          </w:tcPr>
          <w:p w14:paraId="5434D966" w14:textId="77777777" w:rsidR="008B17DF" w:rsidRDefault="008B17DF">
            <w:r>
              <w:t>First Generation</w:t>
            </w:r>
          </w:p>
        </w:tc>
        <w:tc>
          <w:tcPr>
            <w:tcW w:w="1350" w:type="dxa"/>
            <w:tcBorders>
              <w:top w:val="single" w:sz="4" w:space="0" w:color="auto"/>
              <w:left w:val="single" w:sz="4" w:space="0" w:color="auto"/>
              <w:bottom w:val="single" w:sz="4" w:space="0" w:color="auto"/>
              <w:right w:val="single" w:sz="4" w:space="0" w:color="auto"/>
            </w:tcBorders>
            <w:hideMark/>
          </w:tcPr>
          <w:p w14:paraId="5434D967" w14:textId="77777777" w:rsidR="008B17DF" w:rsidRDefault="008B17DF">
            <w:pPr>
              <w:jc w:val="right"/>
            </w:pPr>
            <w:r>
              <w:t>500</w:t>
            </w:r>
          </w:p>
        </w:tc>
        <w:tc>
          <w:tcPr>
            <w:tcW w:w="1170" w:type="dxa"/>
            <w:tcBorders>
              <w:top w:val="single" w:sz="4" w:space="0" w:color="auto"/>
              <w:left w:val="single" w:sz="4" w:space="0" w:color="auto"/>
              <w:bottom w:val="single" w:sz="4" w:space="0" w:color="auto"/>
              <w:right w:val="single" w:sz="4" w:space="0" w:color="auto"/>
            </w:tcBorders>
            <w:hideMark/>
          </w:tcPr>
          <w:p w14:paraId="5434D968" w14:textId="77777777" w:rsidR="008B17DF" w:rsidRDefault="008B17DF">
            <w:pPr>
              <w:jc w:val="right"/>
            </w:pPr>
            <w:r>
              <w:t>32%</w:t>
            </w:r>
          </w:p>
        </w:tc>
        <w:tc>
          <w:tcPr>
            <w:tcW w:w="1350" w:type="dxa"/>
            <w:tcBorders>
              <w:top w:val="single" w:sz="4" w:space="0" w:color="auto"/>
              <w:left w:val="single" w:sz="4" w:space="0" w:color="auto"/>
              <w:bottom w:val="single" w:sz="4" w:space="0" w:color="auto"/>
              <w:right w:val="single" w:sz="4" w:space="0" w:color="auto"/>
            </w:tcBorders>
            <w:hideMark/>
          </w:tcPr>
          <w:p w14:paraId="5434D969" w14:textId="77777777" w:rsidR="008B17DF" w:rsidRDefault="008B17DF">
            <w:pPr>
              <w:jc w:val="right"/>
            </w:pPr>
            <w:r>
              <w:t>53%</w:t>
            </w:r>
          </w:p>
        </w:tc>
        <w:tc>
          <w:tcPr>
            <w:tcW w:w="1260" w:type="dxa"/>
            <w:tcBorders>
              <w:top w:val="single" w:sz="4" w:space="0" w:color="auto"/>
              <w:left w:val="single" w:sz="4" w:space="0" w:color="auto"/>
              <w:bottom w:val="single" w:sz="4" w:space="0" w:color="auto"/>
              <w:right w:val="single" w:sz="4" w:space="0" w:color="auto"/>
            </w:tcBorders>
            <w:hideMark/>
          </w:tcPr>
          <w:p w14:paraId="5434D96A" w14:textId="77777777" w:rsidR="008B17DF" w:rsidRDefault="008B17DF">
            <w:pPr>
              <w:jc w:val="right"/>
            </w:pPr>
            <w:r>
              <w:t>343</w:t>
            </w:r>
          </w:p>
        </w:tc>
        <w:tc>
          <w:tcPr>
            <w:tcW w:w="1170" w:type="dxa"/>
            <w:tcBorders>
              <w:top w:val="single" w:sz="4" w:space="0" w:color="auto"/>
              <w:left w:val="single" w:sz="4" w:space="0" w:color="auto"/>
              <w:bottom w:val="single" w:sz="4" w:space="0" w:color="auto"/>
              <w:right w:val="single" w:sz="4" w:space="0" w:color="auto"/>
            </w:tcBorders>
            <w:hideMark/>
          </w:tcPr>
          <w:p w14:paraId="5434D96B" w14:textId="77777777" w:rsidR="008B17DF" w:rsidRDefault="008B17DF">
            <w:pPr>
              <w:jc w:val="right"/>
            </w:pPr>
            <w:r>
              <w:t>25%</w:t>
            </w:r>
          </w:p>
        </w:tc>
        <w:tc>
          <w:tcPr>
            <w:tcW w:w="1278" w:type="dxa"/>
            <w:tcBorders>
              <w:top w:val="single" w:sz="4" w:space="0" w:color="auto"/>
              <w:left w:val="single" w:sz="4" w:space="0" w:color="auto"/>
              <w:bottom w:val="single" w:sz="4" w:space="0" w:color="auto"/>
              <w:right w:val="single" w:sz="4" w:space="0" w:color="auto"/>
            </w:tcBorders>
            <w:hideMark/>
          </w:tcPr>
          <w:p w14:paraId="5434D96C" w14:textId="77777777" w:rsidR="008B17DF" w:rsidRDefault="008B17DF">
            <w:pPr>
              <w:jc w:val="right"/>
            </w:pPr>
            <w:r>
              <w:t>39%</w:t>
            </w:r>
          </w:p>
        </w:tc>
      </w:tr>
      <w:tr w:rsidR="008B17DF" w14:paraId="5434D975" w14:textId="77777777" w:rsidTr="008B17DF">
        <w:tc>
          <w:tcPr>
            <w:tcW w:w="1998" w:type="dxa"/>
            <w:tcBorders>
              <w:top w:val="single" w:sz="4" w:space="0" w:color="auto"/>
              <w:left w:val="single" w:sz="4" w:space="0" w:color="auto"/>
              <w:bottom w:val="single" w:sz="4" w:space="0" w:color="auto"/>
              <w:right w:val="single" w:sz="4" w:space="0" w:color="auto"/>
            </w:tcBorders>
            <w:hideMark/>
          </w:tcPr>
          <w:p w14:paraId="5434D96E" w14:textId="77777777" w:rsidR="008B17DF" w:rsidRDefault="008B17DF">
            <w:r>
              <w:t>Ethnic Minority</w:t>
            </w:r>
          </w:p>
        </w:tc>
        <w:tc>
          <w:tcPr>
            <w:tcW w:w="1350" w:type="dxa"/>
            <w:tcBorders>
              <w:top w:val="single" w:sz="4" w:space="0" w:color="auto"/>
              <w:left w:val="single" w:sz="4" w:space="0" w:color="auto"/>
              <w:bottom w:val="single" w:sz="4" w:space="0" w:color="auto"/>
              <w:right w:val="single" w:sz="4" w:space="0" w:color="auto"/>
            </w:tcBorders>
            <w:hideMark/>
          </w:tcPr>
          <w:p w14:paraId="5434D96F" w14:textId="77777777" w:rsidR="008B17DF" w:rsidRDefault="008B17DF">
            <w:pPr>
              <w:jc w:val="right"/>
            </w:pPr>
            <w:r>
              <w:t>401</w:t>
            </w:r>
          </w:p>
        </w:tc>
        <w:tc>
          <w:tcPr>
            <w:tcW w:w="1170" w:type="dxa"/>
            <w:tcBorders>
              <w:top w:val="single" w:sz="4" w:space="0" w:color="auto"/>
              <w:left w:val="single" w:sz="4" w:space="0" w:color="auto"/>
              <w:bottom w:val="single" w:sz="4" w:space="0" w:color="auto"/>
              <w:right w:val="single" w:sz="4" w:space="0" w:color="auto"/>
            </w:tcBorders>
            <w:hideMark/>
          </w:tcPr>
          <w:p w14:paraId="5434D970" w14:textId="77777777" w:rsidR="008B17DF" w:rsidRDefault="008B17DF">
            <w:pPr>
              <w:jc w:val="right"/>
            </w:pPr>
            <w:r>
              <w:t>30%</w:t>
            </w:r>
          </w:p>
        </w:tc>
        <w:tc>
          <w:tcPr>
            <w:tcW w:w="1350" w:type="dxa"/>
            <w:tcBorders>
              <w:top w:val="single" w:sz="4" w:space="0" w:color="auto"/>
              <w:left w:val="single" w:sz="4" w:space="0" w:color="auto"/>
              <w:bottom w:val="single" w:sz="4" w:space="0" w:color="auto"/>
              <w:right w:val="single" w:sz="4" w:space="0" w:color="auto"/>
            </w:tcBorders>
            <w:hideMark/>
          </w:tcPr>
          <w:p w14:paraId="5434D971" w14:textId="77777777" w:rsidR="008B17DF" w:rsidRDefault="008B17DF">
            <w:pPr>
              <w:jc w:val="right"/>
            </w:pPr>
            <w:r>
              <w:t>48%</w:t>
            </w:r>
          </w:p>
        </w:tc>
        <w:tc>
          <w:tcPr>
            <w:tcW w:w="1260" w:type="dxa"/>
            <w:tcBorders>
              <w:top w:val="single" w:sz="4" w:space="0" w:color="auto"/>
              <w:left w:val="single" w:sz="4" w:space="0" w:color="auto"/>
              <w:bottom w:val="single" w:sz="4" w:space="0" w:color="auto"/>
              <w:right w:val="single" w:sz="4" w:space="0" w:color="auto"/>
            </w:tcBorders>
            <w:hideMark/>
          </w:tcPr>
          <w:p w14:paraId="5434D972" w14:textId="77777777" w:rsidR="008B17DF" w:rsidRDefault="008B17DF">
            <w:pPr>
              <w:jc w:val="right"/>
            </w:pPr>
            <w:r>
              <w:t>300</w:t>
            </w:r>
          </w:p>
        </w:tc>
        <w:tc>
          <w:tcPr>
            <w:tcW w:w="1170" w:type="dxa"/>
            <w:tcBorders>
              <w:top w:val="single" w:sz="4" w:space="0" w:color="auto"/>
              <w:left w:val="single" w:sz="4" w:space="0" w:color="auto"/>
              <w:bottom w:val="single" w:sz="4" w:space="0" w:color="auto"/>
              <w:right w:val="single" w:sz="4" w:space="0" w:color="auto"/>
            </w:tcBorders>
            <w:hideMark/>
          </w:tcPr>
          <w:p w14:paraId="5434D973" w14:textId="77777777" w:rsidR="008B17DF" w:rsidRDefault="008B17DF">
            <w:pPr>
              <w:jc w:val="right"/>
            </w:pPr>
            <w:r>
              <w:t>27%</w:t>
            </w:r>
          </w:p>
        </w:tc>
        <w:tc>
          <w:tcPr>
            <w:tcW w:w="1278" w:type="dxa"/>
            <w:tcBorders>
              <w:top w:val="single" w:sz="4" w:space="0" w:color="auto"/>
              <w:left w:val="single" w:sz="4" w:space="0" w:color="auto"/>
              <w:bottom w:val="single" w:sz="4" w:space="0" w:color="auto"/>
              <w:right w:val="single" w:sz="4" w:space="0" w:color="auto"/>
            </w:tcBorders>
            <w:hideMark/>
          </w:tcPr>
          <w:p w14:paraId="5434D974" w14:textId="77777777" w:rsidR="008B17DF" w:rsidRDefault="008B17DF">
            <w:pPr>
              <w:jc w:val="right"/>
            </w:pPr>
            <w:r>
              <w:t>41%</w:t>
            </w:r>
          </w:p>
        </w:tc>
      </w:tr>
    </w:tbl>
    <w:p w14:paraId="5434D976" w14:textId="77777777" w:rsidR="008B17DF" w:rsidRDefault="008B17DF" w:rsidP="008B17DF">
      <w:pPr>
        <w:spacing w:line="480" w:lineRule="auto"/>
      </w:pPr>
      <w:r>
        <w:rPr>
          <w:noProof/>
        </w:rPr>
        <w:drawing>
          <wp:anchor distT="0" distB="0" distL="114300" distR="114300" simplePos="0" relativeHeight="251657728" behindDoc="0" locked="0" layoutInCell="1" allowOverlap="1" wp14:anchorId="5434D97A" wp14:editId="5434D97B">
            <wp:simplePos x="0" y="0"/>
            <wp:positionH relativeFrom="column">
              <wp:posOffset>3133725</wp:posOffset>
            </wp:positionH>
            <wp:positionV relativeFrom="paragraph">
              <wp:posOffset>271145</wp:posOffset>
            </wp:positionV>
            <wp:extent cx="2838450" cy="1704975"/>
            <wp:effectExtent l="19050" t="0" r="0" b="0"/>
            <wp:wrapSquare wrapText="bothSides"/>
            <wp:docPr id="4" name="Picture 4" descr="Math 114 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 114 Pell.png"/>
                    <pic:cNvPicPr>
                      <a:picLocks noChangeAspect="1" noChangeArrowheads="1"/>
                    </pic:cNvPicPr>
                  </pic:nvPicPr>
                  <pic:blipFill>
                    <a:blip r:embed="rId6" cstate="print"/>
                    <a:srcRect/>
                    <a:stretch>
                      <a:fillRect/>
                    </a:stretch>
                  </pic:blipFill>
                  <pic:spPr bwMode="auto">
                    <a:xfrm>
                      <a:off x="0" y="0"/>
                      <a:ext cx="2838450" cy="1704975"/>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5434D97C" wp14:editId="5434D97D">
            <wp:simplePos x="0" y="0"/>
            <wp:positionH relativeFrom="column">
              <wp:posOffset>-47625</wp:posOffset>
            </wp:positionH>
            <wp:positionV relativeFrom="paragraph">
              <wp:posOffset>271145</wp:posOffset>
            </wp:positionV>
            <wp:extent cx="2868930" cy="1628775"/>
            <wp:effectExtent l="19050" t="0" r="7620" b="0"/>
            <wp:wrapSquare wrapText="bothSides"/>
            <wp:docPr id="3" name="Picture 3" descr="Math 112 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112 Pell.png"/>
                    <pic:cNvPicPr>
                      <a:picLocks noChangeAspect="1" noChangeArrowheads="1"/>
                    </pic:cNvPicPr>
                  </pic:nvPicPr>
                  <pic:blipFill>
                    <a:blip r:embed="rId7" cstate="print"/>
                    <a:srcRect/>
                    <a:stretch>
                      <a:fillRect/>
                    </a:stretch>
                  </pic:blipFill>
                  <pic:spPr bwMode="auto">
                    <a:xfrm>
                      <a:off x="0" y="0"/>
                      <a:ext cx="2868930" cy="1628775"/>
                    </a:xfrm>
                    <a:prstGeom prst="rect">
                      <a:avLst/>
                    </a:prstGeom>
                    <a:noFill/>
                  </pic:spPr>
                </pic:pic>
              </a:graphicData>
            </a:graphic>
          </wp:anchor>
        </w:drawing>
      </w:r>
    </w:p>
    <w:p w14:paraId="5434D977" w14:textId="77777777" w:rsidR="007E698A" w:rsidRDefault="008B17DF" w:rsidP="008B17DF">
      <w:r>
        <w:t>"</w:t>
      </w:r>
    </w:p>
    <w:sectPr w:rsidR="007E698A" w:rsidSect="007E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1470E"/>
    <w:multiLevelType w:val="hybridMultilevel"/>
    <w:tmpl w:val="2DC4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DF"/>
    <w:rsid w:val="007E698A"/>
    <w:rsid w:val="008B17DF"/>
    <w:rsid w:val="00A4002A"/>
    <w:rsid w:val="00C93E39"/>
    <w:rsid w:val="00E0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D8EC"/>
  <w15:docId w15:val="{327F6087-21F8-4019-B76D-7D0C768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B17D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17DF"/>
    <w:pPr>
      <w:ind w:left="720"/>
      <w:contextualSpacing/>
    </w:pPr>
  </w:style>
  <w:style w:type="table" w:styleId="TableGrid">
    <w:name w:val="Table Grid"/>
    <w:basedOn w:val="TableNormal"/>
    <w:uiPriority w:val="59"/>
    <w:rsid w:val="008B1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7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1750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John Bower</cp:lastModifiedBy>
  <cp:revision>2</cp:revision>
  <dcterms:created xsi:type="dcterms:W3CDTF">2017-03-16T12:02:00Z</dcterms:created>
  <dcterms:modified xsi:type="dcterms:W3CDTF">2017-03-16T12:02:00Z</dcterms:modified>
</cp:coreProperties>
</file>